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泸县总工会</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关于202</w:t>
      </w:r>
      <w:r>
        <w:rPr>
          <w:rFonts w:hint="default" w:ascii="Times New Roman" w:hAnsi="Times New Roman" w:eastAsia="方正小标宋简体" w:cs="Times New Roman"/>
          <w:b/>
          <w:bCs/>
          <w:kern w:val="0"/>
          <w:sz w:val="44"/>
          <w:szCs w:val="44"/>
          <w:lang w:val="en-US" w:eastAsia="zh-CN"/>
        </w:rPr>
        <w:t>1</w:t>
      </w:r>
      <w:r>
        <w:rPr>
          <w:rFonts w:hint="default" w:ascii="Times New Roman" w:hAnsi="Times New Roman" w:eastAsia="方正小标宋简体" w:cs="Times New Roman"/>
          <w:b/>
          <w:bCs/>
          <w:kern w:val="0"/>
          <w:sz w:val="44"/>
          <w:szCs w:val="44"/>
        </w:rPr>
        <w:t>年</w:t>
      </w:r>
      <w:r>
        <w:rPr>
          <w:rFonts w:hint="eastAsia" w:eastAsia="方正小标宋简体" w:cs="Times New Roman"/>
          <w:b/>
          <w:bCs/>
          <w:kern w:val="0"/>
          <w:sz w:val="44"/>
          <w:szCs w:val="44"/>
          <w:lang w:eastAsia="zh-CN"/>
        </w:rPr>
        <w:t>单位</w:t>
      </w:r>
      <w:r>
        <w:rPr>
          <w:rFonts w:hint="default" w:ascii="Times New Roman" w:hAnsi="Times New Roman" w:eastAsia="方正小标宋简体" w:cs="Times New Roman"/>
          <w:b/>
          <w:bCs/>
          <w:kern w:val="0"/>
          <w:sz w:val="44"/>
          <w:szCs w:val="44"/>
        </w:rPr>
        <w:t>预算编制的说明</w:t>
      </w:r>
    </w:p>
    <w:p>
      <w:pPr>
        <w:pStyle w:val="2"/>
        <w:rPr>
          <w:rFonts w:hint="default" w:ascii="Times New Roman" w:hAnsi="Times New Roman" w:cs="Times New Roman"/>
        </w:rPr>
      </w:pPr>
    </w:p>
    <w:p>
      <w:pPr>
        <w:pStyle w:val="6"/>
        <w:keepNext w:val="0"/>
        <w:keepLines w:val="0"/>
        <w:pageBreakBefore w:val="0"/>
        <w:numPr>
          <w:ilvl w:val="0"/>
          <w:numId w:val="1"/>
        </w:numPr>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黑体" w:cs="Times New Roman"/>
          <w:b w:val="0"/>
          <w:bCs/>
          <w:sz w:val="32"/>
          <w:szCs w:val="32"/>
        </w:rPr>
      </w:pPr>
      <w:r>
        <w:rPr>
          <w:rStyle w:val="18"/>
          <w:rFonts w:hint="default" w:ascii="Times New Roman" w:hAnsi="Times New Roman" w:cs="Times New Roman"/>
          <w:sz w:val="32"/>
          <w:szCs w:val="32"/>
        </w:rPr>
        <w:t>单位基本情况</w:t>
      </w:r>
      <w:r>
        <w:rPr>
          <w:rFonts w:hint="default" w:ascii="Times New Roman" w:hAnsi="Times New Roman" w:eastAsia="黑体" w:cs="Times New Roman"/>
          <w:b w:val="0"/>
          <w:bCs/>
          <w:sz w:val="32"/>
          <w:szCs w:val="32"/>
        </w:rPr>
        <w:t xml:space="preserve"> </w:t>
      </w:r>
    </w:p>
    <w:p>
      <w:pPr>
        <w:pStyle w:val="5"/>
        <w:bidi w:val="0"/>
        <w:rPr>
          <w:rFonts w:hint="default" w:ascii="Times New Roman" w:hAnsi="Times New Roman" w:cs="Times New Roman"/>
        </w:rPr>
      </w:pPr>
      <w:r>
        <w:rPr>
          <w:rFonts w:hint="default" w:ascii="Times New Roman" w:hAnsi="Times New Roman" w:cs="Times New Roman"/>
        </w:rPr>
        <w:t>（一）主要职责</w:t>
      </w:r>
    </w:p>
    <w:p>
      <w:pPr>
        <w:pStyle w:val="6"/>
        <w:bidi w:val="0"/>
        <w:rPr>
          <w:rFonts w:hint="default" w:ascii="Times New Roman" w:hAnsi="Times New Roman" w:cs="Times New Roman"/>
        </w:rPr>
      </w:pPr>
      <w:r>
        <w:rPr>
          <w:rFonts w:hint="default" w:ascii="Times New Roman" w:hAnsi="Times New Roman" w:cs="Times New Roman"/>
          <w:lang w:val="en-US" w:eastAsia="zh-CN"/>
        </w:rPr>
        <w:t>1.贯彻执行党的路线、方针、政策，根据县委、市总工会的部署，结合泸县实际，确定工会工作</w:t>
      </w:r>
      <w:bookmarkStart w:id="0" w:name="_GoBack"/>
      <w:bookmarkEnd w:id="0"/>
      <w:r>
        <w:rPr>
          <w:rFonts w:hint="default" w:ascii="Times New Roman" w:hAnsi="Times New Roman" w:cs="Times New Roman"/>
          <w:lang w:val="en-US" w:eastAsia="zh-CN"/>
        </w:rPr>
        <w:t>的指导思想、目标和任务，指导全县工会工作。</w:t>
      </w:r>
    </w:p>
    <w:p>
      <w:pPr>
        <w:pStyle w:val="6"/>
        <w:bidi w:val="0"/>
        <w:rPr>
          <w:rFonts w:hint="default" w:ascii="Times New Roman" w:hAnsi="Times New Roman" w:cs="Times New Roman"/>
        </w:rPr>
      </w:pPr>
      <w:r>
        <w:rPr>
          <w:rFonts w:hint="default" w:ascii="Times New Roman" w:hAnsi="Times New Roman" w:cs="Times New Roman"/>
          <w:lang w:val="en-US" w:eastAsia="zh-CN"/>
        </w:rPr>
        <w:t>2.依照法律和章程，组织和指导各级工会履行工会的各项职能，贯彻执行泸县工会代表大会的决议，开展工会各项业务工作；根据基层工会和下级工会的要求，与有关方面协商解决有关问题。</w:t>
      </w:r>
    </w:p>
    <w:p>
      <w:pPr>
        <w:pStyle w:val="6"/>
        <w:bidi w:val="0"/>
        <w:rPr>
          <w:rFonts w:hint="default" w:ascii="Times New Roman" w:hAnsi="Times New Roman" w:eastAsia="仿宋_GB2312" w:cs="Times New Roman"/>
          <w:szCs w:val="32"/>
          <w:lang w:val="en-US" w:eastAsia="zh-CN"/>
        </w:rPr>
      </w:pPr>
      <w:r>
        <w:rPr>
          <w:rFonts w:hint="default" w:ascii="Times New Roman" w:hAnsi="Times New Roman" w:cs="Times New Roman"/>
          <w:lang w:val="en-US" w:eastAsia="zh-CN"/>
        </w:rPr>
        <w:t>3.对有关职工利益的重大问题进行调查研究，向县委、县政府和市总工会反映职工的愿望和要求，并提出意见和建议，参与涉及职工切身利益的有关政策、措施和制度的制定。</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4.指导各级工会加强自身建设和改革，监督检查《中国工会章程》的贯彻执行，按照县委和市总工会的要求，研究制定工会的各项组织制度和民主制度。</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5.同县级有关</w:t>
      </w:r>
      <w:r>
        <w:rPr>
          <w:rFonts w:hint="eastAsia" w:ascii="Times New Roman" w:hAnsi="Times New Roman" w:cs="Times New Roman"/>
          <w:lang w:val="en-US" w:eastAsia="zh-CN"/>
        </w:rPr>
        <w:t>单位</w:t>
      </w:r>
      <w:r>
        <w:rPr>
          <w:rFonts w:hint="default" w:ascii="Times New Roman" w:hAnsi="Times New Roman" w:cs="Times New Roman"/>
          <w:lang w:val="en-US" w:eastAsia="zh-CN"/>
        </w:rPr>
        <w:t>党组（党委）协商推荐机关工会、机关工委和县级产业工会的主要领导人选，加强领导班子建设；研究制定工会干部的管理制度和培训计划，加强工会干部队伍建设。</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6.协助县政府做好县级以上劳动模范的推荐、评选和管理工作。</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7.负责全县工会经费的管理、审查工作；根据上级有关精神，负责全县工会事业发展的指导、协调工作。</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     8.承办县委、县政府和市总工会交办的其他事宜。</w:t>
      </w:r>
    </w:p>
    <w:p>
      <w:pPr>
        <w:pStyle w:val="5"/>
        <w:bidi w:val="0"/>
        <w:rPr>
          <w:rFonts w:hint="default" w:ascii="Times New Roman" w:hAnsi="Times New Roman" w:cs="Times New Roman"/>
        </w:rPr>
      </w:pPr>
      <w:r>
        <w:rPr>
          <w:rFonts w:hint="default" w:ascii="Times New Roman" w:hAnsi="Times New Roman" w:cs="Times New Roman"/>
        </w:rPr>
        <w:t>（二）机构设置</w:t>
      </w:r>
    </w:p>
    <w:p>
      <w:pPr>
        <w:pStyle w:val="6"/>
        <w:bidi w:val="0"/>
        <w:rPr>
          <w:rFonts w:hint="default" w:ascii="Times New Roman" w:hAnsi="Times New Roman" w:cs="Times New Roman"/>
        </w:rPr>
      </w:pPr>
      <w:r>
        <w:rPr>
          <w:rFonts w:hint="default" w:ascii="Times New Roman" w:hAnsi="Times New Roman" w:cs="Times New Roman"/>
        </w:rPr>
        <w:t>泸县总工会是一级预算单位，属群团组织。下属二级事业单位1个（泸县群团工作中心）。</w:t>
      </w:r>
    </w:p>
    <w:p>
      <w:pPr>
        <w:pStyle w:val="6"/>
        <w:bidi w:val="0"/>
        <w:rPr>
          <w:rFonts w:hint="default" w:ascii="Times New Roman" w:hAnsi="Times New Roman" w:cs="Times New Roman"/>
          <w:szCs w:val="32"/>
        </w:rPr>
      </w:pPr>
      <w:r>
        <w:rPr>
          <w:rFonts w:hint="default" w:ascii="Times New Roman" w:hAnsi="Times New Roman" w:cs="Times New Roman"/>
        </w:rPr>
        <w:t>泸县总工会（含泸县群团工作中心）核定总编制17名，其中：行政编制6名，事业编制11名。在职人员总数1</w:t>
      </w:r>
      <w:r>
        <w:rPr>
          <w:rFonts w:hint="default" w:ascii="Times New Roman" w:hAnsi="Times New Roman" w:cs="Times New Roman"/>
          <w:lang w:val="en-US" w:eastAsia="zh-CN"/>
        </w:rPr>
        <w:t>5</w:t>
      </w:r>
      <w:r>
        <w:rPr>
          <w:rFonts w:hint="default" w:ascii="Times New Roman" w:hAnsi="Times New Roman" w:cs="Times New Roman"/>
        </w:rPr>
        <w:t>名，其中：行政人员5名，事业人员</w:t>
      </w:r>
      <w:r>
        <w:rPr>
          <w:rFonts w:hint="default" w:ascii="Times New Roman" w:hAnsi="Times New Roman" w:cs="Times New Roman"/>
          <w:lang w:val="en-US" w:eastAsia="zh-CN"/>
        </w:rPr>
        <w:t>10</w:t>
      </w:r>
      <w:r>
        <w:rPr>
          <w:rFonts w:hint="default" w:ascii="Times New Roman" w:hAnsi="Times New Roman" w:cs="Times New Roman"/>
        </w:rPr>
        <w:t>名；退休人员5名。</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黑体" w:cs="Times New Roman"/>
          <w:b w:val="0"/>
          <w:bCs/>
          <w:sz w:val="32"/>
          <w:szCs w:val="32"/>
        </w:rPr>
      </w:pPr>
      <w:r>
        <w:rPr>
          <w:rStyle w:val="18"/>
          <w:rFonts w:hint="default" w:ascii="Times New Roman" w:hAnsi="Times New Roman" w:cs="Times New Roman"/>
        </w:rPr>
        <w:t>二、预算收支总体情况</w:t>
      </w:r>
      <w:r>
        <w:rPr>
          <w:rFonts w:hint="default" w:ascii="Times New Roman" w:hAnsi="Times New Roman" w:eastAsia="黑体" w:cs="Times New Roman"/>
          <w:b w:val="0"/>
          <w:bCs/>
          <w:sz w:val="32"/>
          <w:szCs w:val="32"/>
        </w:rPr>
        <w:t xml:space="preserve"> </w:t>
      </w:r>
    </w:p>
    <w:p>
      <w:pPr>
        <w:pStyle w:val="6"/>
        <w:bidi w:val="0"/>
        <w:rPr>
          <w:rFonts w:hint="default" w:ascii="Times New Roman" w:hAnsi="Times New Roman" w:cs="Times New Roman"/>
        </w:rPr>
      </w:pPr>
      <w:r>
        <w:rPr>
          <w:rFonts w:hint="default" w:ascii="Times New Roman" w:hAnsi="Times New Roman" w:cs="Times New Roman"/>
        </w:rPr>
        <w:t>泸县总工会（含群团工作中心）202</w:t>
      </w:r>
      <w:r>
        <w:rPr>
          <w:rFonts w:hint="default" w:ascii="Times New Roman" w:hAnsi="Times New Roman" w:cs="Times New Roman"/>
          <w:lang w:val="en-US" w:eastAsia="zh-CN"/>
        </w:rPr>
        <w:t>1</w:t>
      </w:r>
      <w:r>
        <w:rPr>
          <w:rFonts w:hint="default" w:ascii="Times New Roman" w:hAnsi="Times New Roman" w:cs="Times New Roman"/>
        </w:rPr>
        <w:t>年收入预算总额为</w:t>
      </w:r>
      <w:r>
        <w:rPr>
          <w:rFonts w:hint="default" w:ascii="Times New Roman" w:hAnsi="Times New Roman" w:cs="Times New Roman"/>
          <w:lang w:val="en-US" w:eastAsia="zh-CN"/>
        </w:rPr>
        <w:t>250.52</w:t>
      </w:r>
      <w:r>
        <w:rPr>
          <w:rFonts w:hint="default" w:ascii="Times New Roman" w:hAnsi="Times New Roman" w:cs="Times New Roman"/>
        </w:rPr>
        <w:t>万元，较上年预算增加</w:t>
      </w:r>
      <w:r>
        <w:rPr>
          <w:rFonts w:hint="default" w:ascii="Times New Roman" w:hAnsi="Times New Roman" w:cs="Times New Roman"/>
          <w:lang w:val="en-US" w:eastAsia="zh-CN"/>
        </w:rPr>
        <w:t>8.07</w:t>
      </w:r>
      <w:r>
        <w:rPr>
          <w:rFonts w:hint="default" w:ascii="Times New Roman" w:hAnsi="Times New Roman" w:cs="Times New Roman"/>
        </w:rPr>
        <w:t>万元，增长</w:t>
      </w:r>
      <w:r>
        <w:rPr>
          <w:rFonts w:hint="default" w:ascii="Times New Roman" w:hAnsi="Times New Roman" w:cs="Times New Roman"/>
          <w:lang w:val="en-US" w:eastAsia="zh-CN"/>
        </w:rPr>
        <w:t>3.32</w:t>
      </w:r>
      <w:r>
        <w:rPr>
          <w:rFonts w:hint="default" w:ascii="Times New Roman" w:hAnsi="Times New Roman" w:cs="Times New Roman"/>
        </w:rPr>
        <w:t xml:space="preserve">%。 </w:t>
      </w:r>
    </w:p>
    <w:p>
      <w:pPr>
        <w:pStyle w:val="6"/>
        <w:bidi w:val="0"/>
        <w:rPr>
          <w:rFonts w:hint="default" w:ascii="Times New Roman" w:hAnsi="Times New Roman" w:cs="Times New Roman"/>
          <w:szCs w:val="32"/>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年支出预算总额为</w:t>
      </w:r>
      <w:r>
        <w:rPr>
          <w:rFonts w:hint="default" w:ascii="Times New Roman" w:hAnsi="Times New Roman" w:cs="Times New Roman"/>
          <w:lang w:val="en-US" w:eastAsia="zh-CN"/>
        </w:rPr>
        <w:t>250.52</w:t>
      </w:r>
      <w:r>
        <w:rPr>
          <w:rFonts w:hint="default" w:ascii="Times New Roman" w:hAnsi="Times New Roman" w:cs="Times New Roman"/>
        </w:rPr>
        <w:t>万元，较上年预算支出增加</w:t>
      </w:r>
      <w:r>
        <w:rPr>
          <w:rFonts w:hint="default" w:ascii="Times New Roman" w:hAnsi="Times New Roman" w:cs="Times New Roman"/>
          <w:lang w:val="en-US" w:eastAsia="zh-CN"/>
        </w:rPr>
        <w:t>8.07</w:t>
      </w:r>
      <w:r>
        <w:rPr>
          <w:rFonts w:hint="default" w:ascii="Times New Roman" w:hAnsi="Times New Roman" w:cs="Times New Roman"/>
        </w:rPr>
        <w:t>万元，增长3.3</w:t>
      </w:r>
      <w:r>
        <w:rPr>
          <w:rFonts w:hint="default" w:ascii="Times New Roman" w:hAnsi="Times New Roman" w:cs="Times New Roman"/>
          <w:lang w:val="en-US" w:eastAsia="zh-CN"/>
        </w:rPr>
        <w:t>2</w:t>
      </w:r>
      <w:r>
        <w:rPr>
          <w:rFonts w:hint="default" w:ascii="Times New Roman" w:hAnsi="Times New Roman" w:cs="Times New Roman"/>
        </w:rPr>
        <w:t>%，增加的主要原因是</w:t>
      </w:r>
      <w:r>
        <w:rPr>
          <w:rFonts w:hint="default" w:ascii="Times New Roman" w:hAnsi="Times New Roman" w:cs="Times New Roman"/>
          <w:lang w:val="en-US" w:eastAsia="zh-CN"/>
        </w:rPr>
        <w:t>新进人员</w:t>
      </w:r>
      <w:r>
        <w:rPr>
          <w:rFonts w:hint="default" w:ascii="Times New Roman" w:hAnsi="Times New Roman" w:cs="Times New Roman"/>
        </w:rPr>
        <w:t>。其中：人员支出</w:t>
      </w:r>
      <w:r>
        <w:rPr>
          <w:rFonts w:hint="default" w:ascii="Times New Roman" w:hAnsi="Times New Roman" w:cs="Times New Roman"/>
          <w:lang w:val="en-US" w:eastAsia="zh-CN"/>
        </w:rPr>
        <w:t>207.14</w:t>
      </w:r>
      <w:r>
        <w:rPr>
          <w:rFonts w:hint="default" w:ascii="Times New Roman" w:hAnsi="Times New Roman" w:cs="Times New Roman"/>
        </w:rPr>
        <w:t>万元、占82.</w:t>
      </w:r>
      <w:r>
        <w:rPr>
          <w:rFonts w:hint="default" w:ascii="Times New Roman" w:hAnsi="Times New Roman" w:cs="Times New Roman"/>
          <w:lang w:val="en-US" w:eastAsia="zh-CN"/>
        </w:rPr>
        <w:t>68</w:t>
      </w:r>
      <w:r>
        <w:rPr>
          <w:rFonts w:hint="default" w:ascii="Times New Roman" w:hAnsi="Times New Roman" w:cs="Times New Roman"/>
        </w:rPr>
        <w:t>%，日常公用支出</w:t>
      </w:r>
      <w:r>
        <w:rPr>
          <w:rFonts w:hint="default" w:ascii="Times New Roman" w:hAnsi="Times New Roman" w:cs="Times New Roman"/>
          <w:lang w:val="en-US" w:eastAsia="zh-CN"/>
        </w:rPr>
        <w:t>23.55</w:t>
      </w:r>
      <w:r>
        <w:rPr>
          <w:rFonts w:hint="default" w:ascii="Times New Roman" w:hAnsi="Times New Roman" w:cs="Times New Roman"/>
        </w:rPr>
        <w:t>万元、占</w:t>
      </w:r>
      <w:r>
        <w:rPr>
          <w:rFonts w:hint="default" w:ascii="Times New Roman" w:hAnsi="Times New Roman" w:cs="Times New Roman"/>
          <w:lang w:val="en-US" w:eastAsia="zh-CN"/>
        </w:rPr>
        <w:t>9.4</w:t>
      </w:r>
      <w:r>
        <w:rPr>
          <w:rFonts w:hint="default" w:ascii="Times New Roman" w:hAnsi="Times New Roman" w:cs="Times New Roman"/>
        </w:rPr>
        <w:t>%，对个人和家庭的补助支出0.</w:t>
      </w:r>
      <w:r>
        <w:rPr>
          <w:rFonts w:hint="default" w:ascii="Times New Roman" w:hAnsi="Times New Roman" w:cs="Times New Roman"/>
          <w:lang w:val="en-US" w:eastAsia="zh-CN"/>
        </w:rPr>
        <w:t>82</w:t>
      </w:r>
      <w:r>
        <w:rPr>
          <w:rFonts w:hint="default" w:ascii="Times New Roman" w:hAnsi="Times New Roman" w:cs="Times New Roman"/>
        </w:rPr>
        <w:t>万元、占0.33%，项目支出</w:t>
      </w:r>
      <w:r>
        <w:rPr>
          <w:rFonts w:hint="default" w:ascii="Times New Roman" w:hAnsi="Times New Roman" w:cs="Times New Roman"/>
          <w:lang w:val="en-US" w:eastAsia="zh-CN"/>
        </w:rPr>
        <w:t>19</w:t>
      </w:r>
      <w:r>
        <w:rPr>
          <w:rFonts w:hint="default" w:ascii="Times New Roman" w:hAnsi="Times New Roman" w:cs="Times New Roman"/>
        </w:rPr>
        <w:t>万元、占</w:t>
      </w:r>
      <w:r>
        <w:rPr>
          <w:rFonts w:hint="default" w:ascii="Times New Roman" w:hAnsi="Times New Roman" w:cs="Times New Roman"/>
          <w:lang w:val="en-US" w:eastAsia="zh-CN"/>
        </w:rPr>
        <w:t>7.58</w:t>
      </w:r>
      <w:r>
        <w:rPr>
          <w:rFonts w:hint="default" w:ascii="Times New Roman" w:hAnsi="Times New Roman" w:cs="Times New Roman"/>
        </w:rPr>
        <w:t>%。</w:t>
      </w:r>
    </w:p>
    <w:p>
      <w:pPr>
        <w:pStyle w:val="3"/>
        <w:keepNext w:val="0"/>
        <w:keepLines w:val="0"/>
        <w:pageBreakBefore w:val="0"/>
        <w:widowControl/>
        <w:kinsoku/>
        <w:wordWrap/>
        <w:overflowPunct/>
        <w:topLinePunct w:val="0"/>
        <w:autoSpaceDE/>
        <w:autoSpaceDN/>
        <w:bidi w:val="0"/>
        <w:adjustRightInd w:val="0"/>
        <w:snapToGrid w:val="0"/>
        <w:spacing w:before="0" w:after="0"/>
        <w:textAlignment w:val="auto"/>
        <w:rPr>
          <w:rFonts w:hint="default" w:ascii="Times New Roman" w:hAnsi="Times New Roman" w:cs="Times New Roman"/>
        </w:rPr>
      </w:pPr>
      <w:r>
        <w:rPr>
          <w:rFonts w:hint="default" w:ascii="Times New Roman" w:hAnsi="Times New Roman" w:cs="Times New Roman"/>
        </w:rPr>
        <w:t xml:space="preserve">三、财政拨款支出预算安排情况 </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w:t>
      </w:r>
      <w:r>
        <w:rPr>
          <w:rFonts w:hint="eastAsia" w:ascii="Times New Roman" w:hAnsi="Times New Roman" w:cs="Times New Roman"/>
          <w:lang w:eastAsia="zh-CN"/>
        </w:rPr>
        <w:t>单位</w:t>
      </w:r>
      <w:r>
        <w:rPr>
          <w:rFonts w:hint="default" w:ascii="Times New Roman" w:hAnsi="Times New Roman" w:cs="Times New Roman"/>
        </w:rPr>
        <w:t>基本支出预算总额为</w:t>
      </w:r>
      <w:r>
        <w:rPr>
          <w:rFonts w:hint="default" w:ascii="Times New Roman" w:hAnsi="Times New Roman" w:cs="Times New Roman"/>
          <w:lang w:val="en-US" w:eastAsia="zh-CN"/>
        </w:rPr>
        <w:t>250.52</w:t>
      </w:r>
      <w:r>
        <w:rPr>
          <w:rFonts w:hint="default" w:ascii="Times New Roman" w:hAnsi="Times New Roman" w:cs="Times New Roman"/>
        </w:rPr>
        <w:t>万元。人员支出</w:t>
      </w:r>
      <w:r>
        <w:rPr>
          <w:rFonts w:hint="default" w:ascii="Times New Roman" w:hAnsi="Times New Roman" w:cs="Times New Roman"/>
          <w:lang w:val="en-US" w:eastAsia="zh-CN"/>
        </w:rPr>
        <w:t>207.14</w:t>
      </w:r>
      <w:r>
        <w:rPr>
          <w:rFonts w:hint="default" w:ascii="Times New Roman" w:hAnsi="Times New Roman" w:cs="Times New Roman"/>
        </w:rPr>
        <w:t>万元，其中：基本工资</w:t>
      </w:r>
      <w:r>
        <w:rPr>
          <w:rFonts w:hint="default" w:ascii="Times New Roman" w:hAnsi="Times New Roman" w:cs="Times New Roman"/>
          <w:lang w:val="en-US" w:eastAsia="zh-CN"/>
        </w:rPr>
        <w:t>55.83</w:t>
      </w:r>
      <w:r>
        <w:rPr>
          <w:rFonts w:hint="default" w:ascii="Times New Roman" w:hAnsi="Times New Roman" w:cs="Times New Roman"/>
        </w:rPr>
        <w:t>万元、津贴补贴</w:t>
      </w:r>
      <w:r>
        <w:rPr>
          <w:rFonts w:hint="default" w:ascii="Times New Roman" w:hAnsi="Times New Roman" w:cs="Times New Roman"/>
          <w:lang w:val="en-US" w:eastAsia="zh-CN"/>
        </w:rPr>
        <w:t>39.20</w:t>
      </w:r>
      <w:r>
        <w:rPr>
          <w:rFonts w:hint="default" w:ascii="Times New Roman" w:hAnsi="Times New Roman" w:cs="Times New Roman"/>
        </w:rPr>
        <w:t>万元、绩效工资2.</w:t>
      </w:r>
      <w:r>
        <w:rPr>
          <w:rFonts w:hint="default" w:ascii="Times New Roman" w:hAnsi="Times New Roman" w:cs="Times New Roman"/>
          <w:lang w:val="en-US" w:eastAsia="zh-CN"/>
        </w:rPr>
        <w:t>78</w:t>
      </w:r>
      <w:r>
        <w:rPr>
          <w:rFonts w:hint="default" w:ascii="Times New Roman" w:hAnsi="Times New Roman" w:cs="Times New Roman"/>
        </w:rPr>
        <w:t>万元、奖金1.8</w:t>
      </w:r>
      <w:r>
        <w:rPr>
          <w:rFonts w:hint="default" w:ascii="Times New Roman" w:hAnsi="Times New Roman" w:cs="Times New Roman"/>
          <w:lang w:val="en-US" w:eastAsia="zh-CN"/>
        </w:rPr>
        <w:t>7</w:t>
      </w:r>
      <w:r>
        <w:rPr>
          <w:rFonts w:hint="default" w:ascii="Times New Roman" w:hAnsi="Times New Roman" w:cs="Times New Roman"/>
        </w:rPr>
        <w:t>万元、其他社会保障缴费9.</w:t>
      </w:r>
      <w:r>
        <w:rPr>
          <w:rFonts w:hint="default" w:ascii="Times New Roman" w:hAnsi="Times New Roman" w:cs="Times New Roman"/>
          <w:lang w:val="en-US" w:eastAsia="zh-CN"/>
        </w:rPr>
        <w:t>38</w:t>
      </w:r>
      <w:r>
        <w:rPr>
          <w:rFonts w:hint="default" w:ascii="Times New Roman" w:hAnsi="Times New Roman" w:cs="Times New Roman"/>
        </w:rPr>
        <w:t>万元、机关事业单位基本养老保险</w:t>
      </w:r>
      <w:r>
        <w:rPr>
          <w:rFonts w:hint="default" w:ascii="Times New Roman" w:hAnsi="Times New Roman" w:cs="Times New Roman"/>
          <w:lang w:val="en-US" w:eastAsia="zh-CN"/>
        </w:rPr>
        <w:t>15</w:t>
      </w:r>
      <w:r>
        <w:rPr>
          <w:rFonts w:hint="default" w:ascii="Times New Roman" w:hAnsi="Times New Roman" w:cs="Times New Roman"/>
        </w:rPr>
        <w:t>.</w:t>
      </w:r>
      <w:r>
        <w:rPr>
          <w:rFonts w:hint="default" w:ascii="Times New Roman" w:hAnsi="Times New Roman" w:cs="Times New Roman"/>
          <w:lang w:val="en-US" w:eastAsia="zh-CN"/>
        </w:rPr>
        <w:t>95</w:t>
      </w:r>
      <w:r>
        <w:rPr>
          <w:rFonts w:hint="default" w:ascii="Times New Roman" w:hAnsi="Times New Roman" w:cs="Times New Roman"/>
        </w:rPr>
        <w:t>万元、住房公积金1</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96</w:t>
      </w:r>
      <w:r>
        <w:rPr>
          <w:rFonts w:hint="default" w:ascii="Times New Roman" w:hAnsi="Times New Roman" w:cs="Times New Roman"/>
        </w:rPr>
        <w:t>万元、其他工资福利支出</w:t>
      </w:r>
      <w:r>
        <w:rPr>
          <w:rFonts w:hint="default" w:ascii="Times New Roman" w:hAnsi="Times New Roman" w:cs="Times New Roman"/>
          <w:lang w:val="en-US" w:eastAsia="zh-CN"/>
        </w:rPr>
        <w:t>69</w:t>
      </w:r>
      <w:r>
        <w:rPr>
          <w:rFonts w:hint="default" w:ascii="Times New Roman" w:hAnsi="Times New Roman" w:cs="Times New Roman"/>
        </w:rPr>
        <w:t>万元。日常公用支出2</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55</w:t>
      </w:r>
      <w:r>
        <w:rPr>
          <w:rFonts w:hint="default" w:ascii="Times New Roman" w:hAnsi="Times New Roman" w:cs="Times New Roman"/>
        </w:rPr>
        <w:t>万元，其中：办公费3</w:t>
      </w:r>
      <w:r>
        <w:rPr>
          <w:rFonts w:hint="default" w:ascii="Times New Roman" w:hAnsi="Times New Roman" w:cs="Times New Roman"/>
          <w:lang w:val="en-US" w:eastAsia="zh-CN"/>
        </w:rPr>
        <w:t>.8</w:t>
      </w:r>
      <w:r>
        <w:rPr>
          <w:rFonts w:hint="default" w:ascii="Times New Roman" w:hAnsi="Times New Roman" w:cs="Times New Roman"/>
        </w:rPr>
        <w:t>万元、印刷费1.</w:t>
      </w:r>
      <w:r>
        <w:rPr>
          <w:rFonts w:hint="default" w:ascii="Times New Roman" w:hAnsi="Times New Roman" w:cs="Times New Roman"/>
          <w:lang w:val="en-US" w:eastAsia="zh-CN"/>
        </w:rPr>
        <w:t>6</w:t>
      </w:r>
      <w:r>
        <w:rPr>
          <w:rFonts w:hint="default" w:ascii="Times New Roman" w:hAnsi="Times New Roman" w:cs="Times New Roman"/>
        </w:rPr>
        <w:t>万元、水费0.8万元、电费1.</w:t>
      </w:r>
      <w:r>
        <w:rPr>
          <w:rFonts w:hint="default" w:ascii="Times New Roman" w:hAnsi="Times New Roman" w:cs="Times New Roman"/>
          <w:lang w:val="en-US" w:eastAsia="zh-CN"/>
        </w:rPr>
        <w:t>3</w:t>
      </w:r>
      <w:r>
        <w:rPr>
          <w:rFonts w:hint="default" w:ascii="Times New Roman" w:hAnsi="Times New Roman" w:cs="Times New Roman"/>
        </w:rPr>
        <w:t>万元、邮电费2.</w:t>
      </w:r>
      <w:r>
        <w:rPr>
          <w:rFonts w:hint="default" w:ascii="Times New Roman" w:hAnsi="Times New Roman" w:cs="Times New Roman"/>
          <w:lang w:val="en-US" w:eastAsia="zh-CN"/>
        </w:rPr>
        <w:t>2</w:t>
      </w:r>
      <w:r>
        <w:rPr>
          <w:rFonts w:hint="default" w:ascii="Times New Roman" w:hAnsi="Times New Roman" w:cs="Times New Roman"/>
        </w:rPr>
        <w:t>万元、差旅费2.</w:t>
      </w:r>
      <w:r>
        <w:rPr>
          <w:rFonts w:hint="default" w:ascii="Times New Roman" w:hAnsi="Times New Roman" w:cs="Times New Roman"/>
          <w:lang w:val="en-US" w:eastAsia="zh-CN"/>
        </w:rPr>
        <w:t>8</w:t>
      </w:r>
      <w:r>
        <w:rPr>
          <w:rFonts w:hint="default" w:ascii="Times New Roman" w:hAnsi="Times New Roman" w:cs="Times New Roman"/>
        </w:rPr>
        <w:t>万元、维修（护）费0.5万元、工会经费</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12</w:t>
      </w:r>
      <w:r>
        <w:rPr>
          <w:rFonts w:hint="default" w:ascii="Times New Roman" w:hAnsi="Times New Roman" w:cs="Times New Roman"/>
        </w:rPr>
        <w:t>万元、福利费1.</w:t>
      </w:r>
      <w:r>
        <w:rPr>
          <w:rFonts w:hint="default" w:ascii="Times New Roman" w:hAnsi="Times New Roman" w:cs="Times New Roman"/>
          <w:lang w:val="en-US" w:eastAsia="zh-CN"/>
        </w:rPr>
        <w:t>68</w:t>
      </w:r>
      <w:r>
        <w:rPr>
          <w:rFonts w:hint="default" w:ascii="Times New Roman" w:hAnsi="Times New Roman" w:cs="Times New Roman"/>
        </w:rPr>
        <w:t>万元、其他交通费用</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07</w:t>
      </w:r>
      <w:r>
        <w:rPr>
          <w:rFonts w:hint="default" w:ascii="Times New Roman" w:hAnsi="Times New Roman" w:cs="Times New Roman"/>
        </w:rPr>
        <w:t>万元、其他商品和服务支出2.</w:t>
      </w:r>
      <w:r>
        <w:rPr>
          <w:rFonts w:hint="default" w:ascii="Times New Roman" w:hAnsi="Times New Roman" w:cs="Times New Roman"/>
          <w:lang w:val="en-US" w:eastAsia="zh-CN"/>
        </w:rPr>
        <w:t>69</w:t>
      </w:r>
      <w:r>
        <w:rPr>
          <w:rFonts w:hint="default" w:ascii="Times New Roman" w:hAnsi="Times New Roman" w:cs="Times New Roman"/>
        </w:rPr>
        <w:t>万元。对个人和家庭的补助支出0.8</w:t>
      </w:r>
      <w:r>
        <w:rPr>
          <w:rFonts w:hint="default" w:ascii="Times New Roman" w:hAnsi="Times New Roman" w:cs="Times New Roman"/>
          <w:lang w:val="en-US" w:eastAsia="zh-CN"/>
        </w:rPr>
        <w:t>2</w:t>
      </w:r>
      <w:r>
        <w:rPr>
          <w:rFonts w:hint="default" w:ascii="Times New Roman" w:hAnsi="Times New Roman" w:cs="Times New Roman"/>
        </w:rPr>
        <w:t>万元，其中：独子费0.0</w:t>
      </w:r>
      <w:r>
        <w:rPr>
          <w:rFonts w:hint="default" w:ascii="Times New Roman" w:hAnsi="Times New Roman" w:cs="Times New Roman"/>
          <w:lang w:val="en-US" w:eastAsia="zh-CN"/>
        </w:rPr>
        <w:t>4</w:t>
      </w:r>
      <w:r>
        <w:rPr>
          <w:rFonts w:hint="default" w:ascii="Times New Roman" w:hAnsi="Times New Roman" w:cs="Times New Roman"/>
        </w:rPr>
        <w:t>万元、遗嘱生活补贴0.78万元。</w:t>
      </w:r>
    </w:p>
    <w:p>
      <w:pPr>
        <w:pStyle w:val="6"/>
        <w:bidi w:val="0"/>
        <w:rPr>
          <w:rFonts w:hint="default" w:ascii="Times New Roman" w:hAnsi="Times New Roman" w:cs="Times New Roman"/>
        </w:rPr>
      </w:pPr>
      <w:r>
        <w:rPr>
          <w:rFonts w:hint="default" w:ascii="Times New Roman" w:hAnsi="Times New Roman" w:cs="Times New Roman"/>
        </w:rPr>
        <w:t>泸县总工会202</w:t>
      </w:r>
      <w:r>
        <w:rPr>
          <w:rFonts w:hint="default" w:ascii="Times New Roman" w:hAnsi="Times New Roman" w:cs="Times New Roman"/>
          <w:lang w:val="en-US" w:eastAsia="zh-CN"/>
        </w:rPr>
        <w:t>1</w:t>
      </w:r>
      <w:r>
        <w:rPr>
          <w:rFonts w:hint="default" w:ascii="Times New Roman" w:hAnsi="Times New Roman" w:cs="Times New Roman"/>
        </w:rPr>
        <w:t>年</w:t>
      </w:r>
      <w:r>
        <w:rPr>
          <w:rFonts w:hint="eastAsia" w:ascii="Times New Roman" w:hAnsi="Times New Roman" w:cs="Times New Roman"/>
          <w:lang w:eastAsia="zh-CN"/>
        </w:rPr>
        <w:t>单位</w:t>
      </w:r>
      <w:r>
        <w:rPr>
          <w:rFonts w:hint="default" w:ascii="Times New Roman" w:hAnsi="Times New Roman" w:cs="Times New Roman"/>
        </w:rPr>
        <w:t>项目支出预算总数</w:t>
      </w:r>
      <w:r>
        <w:rPr>
          <w:rFonts w:hint="default" w:ascii="Times New Roman" w:hAnsi="Times New Roman" w:cs="Times New Roman"/>
          <w:lang w:val="en-US" w:eastAsia="zh-CN"/>
        </w:rPr>
        <w:t>19</w:t>
      </w:r>
      <w:r>
        <w:rPr>
          <w:rFonts w:hint="default" w:ascii="Times New Roman" w:hAnsi="Times New Roman" w:cs="Times New Roman"/>
        </w:rPr>
        <w:t>万元，其中：公务接待费1.5万元，公务用车运行维护费2万元，</w:t>
      </w:r>
      <w:r>
        <w:rPr>
          <w:rFonts w:hint="default" w:ascii="Times New Roman" w:hAnsi="Times New Roman" w:cs="Times New Roman"/>
          <w:lang w:val="en-US" w:eastAsia="zh-CN"/>
        </w:rPr>
        <w:t>群团工作中心</w:t>
      </w:r>
      <w:r>
        <w:rPr>
          <w:rFonts w:hint="default" w:ascii="Times New Roman" w:hAnsi="Times New Roman" w:cs="Times New Roman"/>
        </w:rPr>
        <w:t>大厅水电、宽带网络、保安保洁费6.5万元，上争外引工作经费</w:t>
      </w:r>
      <w:r>
        <w:rPr>
          <w:rFonts w:hint="default" w:ascii="Times New Roman" w:hAnsi="Times New Roman" w:cs="Times New Roman"/>
          <w:lang w:val="en-US" w:eastAsia="zh-CN"/>
        </w:rPr>
        <w:t>9</w:t>
      </w:r>
      <w:r>
        <w:rPr>
          <w:rFonts w:hint="default" w:ascii="Times New Roman" w:hAnsi="Times New Roman" w:cs="Times New Roman"/>
        </w:rPr>
        <w:t>万元。</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黑体" w:cs="Times New Roman"/>
          <w:b w:val="0"/>
          <w:bCs/>
          <w:sz w:val="32"/>
          <w:szCs w:val="32"/>
        </w:rPr>
      </w:pPr>
      <w:r>
        <w:rPr>
          <w:rStyle w:val="18"/>
          <w:rFonts w:hint="default" w:ascii="Times New Roman" w:hAnsi="Times New Roman" w:cs="Times New Roman"/>
        </w:rPr>
        <w:t>四、“三公”经费财政拨款预算安排情况</w:t>
      </w:r>
      <w:r>
        <w:rPr>
          <w:rFonts w:hint="default" w:ascii="Times New Roman" w:hAnsi="Times New Roman" w:eastAsia="黑体" w:cs="Times New Roman"/>
          <w:b w:val="0"/>
          <w:bCs/>
          <w:sz w:val="32"/>
          <w:szCs w:val="32"/>
        </w:rPr>
        <w:t xml:space="preserve"> </w:t>
      </w:r>
    </w:p>
    <w:p>
      <w:pPr>
        <w:pStyle w:val="5"/>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default" w:ascii="Times New Roman" w:hAnsi="Times New Roman" w:cs="Times New Roman"/>
        </w:rPr>
        <w:t>因公出国（境）费</w:t>
      </w:r>
    </w:p>
    <w:p>
      <w:pPr>
        <w:pStyle w:val="6"/>
        <w:bidi w:val="0"/>
        <w:rPr>
          <w:rFonts w:hint="default" w:ascii="Times New Roman" w:hAnsi="Times New Roman" w:cs="Times New Roman"/>
        </w:rPr>
      </w:pPr>
      <w:r>
        <w:rPr>
          <w:rFonts w:hint="default" w:ascii="Times New Roman" w:hAnsi="Times New Roman" w:cs="Times New Roman"/>
        </w:rPr>
        <w:t>无因公出国（境）预算。</w:t>
      </w:r>
    </w:p>
    <w:p>
      <w:pPr>
        <w:pStyle w:val="5"/>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二</w:t>
      </w:r>
      <w:r>
        <w:rPr>
          <w:rFonts w:hint="default" w:ascii="Times New Roman" w:hAnsi="Times New Roman" w:cs="Times New Roman"/>
          <w:lang w:eastAsia="zh-CN"/>
        </w:rPr>
        <w:t>）</w:t>
      </w:r>
      <w:r>
        <w:rPr>
          <w:rFonts w:hint="default" w:ascii="Times New Roman" w:hAnsi="Times New Roman" w:cs="Times New Roman"/>
        </w:rPr>
        <w:t>公务接待费</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年公务接待费预算安排1.5万元，与20</w:t>
      </w:r>
      <w:r>
        <w:rPr>
          <w:rFonts w:hint="default" w:ascii="Times New Roman" w:hAnsi="Times New Roman" w:cs="Times New Roman"/>
          <w:lang w:val="en-US" w:eastAsia="zh-CN"/>
        </w:rPr>
        <w:t>20</w:t>
      </w:r>
      <w:r>
        <w:rPr>
          <w:rFonts w:hint="default" w:ascii="Times New Roman" w:hAnsi="Times New Roman" w:cs="Times New Roman"/>
        </w:rPr>
        <w:t>年预算持平。本年度公务接待费计划主要用于各区县工会工作经验交流。</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3" w:firstLineChars="200"/>
        <w:jc w:val="both"/>
        <w:textAlignment w:val="auto"/>
        <w:rPr>
          <w:rFonts w:hint="default" w:ascii="Times New Roman" w:hAnsi="Times New Roman" w:eastAsia="方正楷体简体" w:cs="Times New Roman"/>
          <w:b/>
          <w:bCs/>
          <w:sz w:val="32"/>
          <w:szCs w:val="32"/>
        </w:rPr>
      </w:pPr>
      <w:r>
        <w:rPr>
          <w:rStyle w:val="19"/>
          <w:rFonts w:hint="default" w:ascii="Times New Roman" w:hAnsi="Times New Roman" w:cs="Times New Roman"/>
          <w:lang w:eastAsia="zh-CN"/>
        </w:rPr>
        <w:t>（</w:t>
      </w:r>
      <w:r>
        <w:rPr>
          <w:rStyle w:val="19"/>
          <w:rFonts w:hint="default" w:ascii="Times New Roman" w:hAnsi="Times New Roman" w:cs="Times New Roman"/>
        </w:rPr>
        <w:t>三</w:t>
      </w:r>
      <w:r>
        <w:rPr>
          <w:rStyle w:val="19"/>
          <w:rFonts w:hint="default" w:ascii="Times New Roman" w:hAnsi="Times New Roman" w:cs="Times New Roman"/>
          <w:lang w:eastAsia="zh-CN"/>
        </w:rPr>
        <w:t>）</w:t>
      </w:r>
      <w:r>
        <w:rPr>
          <w:rStyle w:val="19"/>
          <w:rFonts w:hint="default" w:ascii="Times New Roman" w:hAnsi="Times New Roman" w:cs="Times New Roman"/>
        </w:rPr>
        <w:t>公务用车购置及运行维护费</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年公务用车运行维护费预算</w:t>
      </w:r>
      <w:r>
        <w:rPr>
          <w:rFonts w:hint="default" w:ascii="Times New Roman" w:hAnsi="Times New Roman" w:cs="Times New Roman"/>
          <w:lang w:val="en-US" w:eastAsia="zh-CN"/>
        </w:rPr>
        <w:t>2</w:t>
      </w:r>
      <w:r>
        <w:rPr>
          <w:rFonts w:hint="default" w:ascii="Times New Roman" w:hAnsi="Times New Roman" w:cs="Times New Roman"/>
        </w:rPr>
        <w:t>万元。</w:t>
      </w:r>
    </w:p>
    <w:p>
      <w:pPr>
        <w:pStyle w:val="3"/>
        <w:keepNext w:val="0"/>
        <w:keepLines w:val="0"/>
        <w:pageBreakBefore w:val="0"/>
        <w:widowControl/>
        <w:kinsoku/>
        <w:wordWrap/>
        <w:overflowPunct/>
        <w:topLinePunct w:val="0"/>
        <w:autoSpaceDE/>
        <w:autoSpaceDN/>
        <w:bidi w:val="0"/>
        <w:adjustRightInd w:val="0"/>
        <w:snapToGrid w:val="0"/>
        <w:spacing w:before="0" w:after="0"/>
        <w:textAlignment w:val="auto"/>
        <w:rPr>
          <w:rFonts w:hint="default" w:ascii="Times New Roman" w:hAnsi="Times New Roman" w:cs="Times New Roman"/>
        </w:rPr>
      </w:pPr>
      <w:r>
        <w:rPr>
          <w:rFonts w:hint="default" w:ascii="Times New Roman" w:hAnsi="Times New Roman" w:cs="Times New Roman"/>
        </w:rPr>
        <w:t>五、政府采购预算安排情况</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年政府采购预算0万元。</w:t>
      </w:r>
    </w:p>
    <w:p>
      <w:pPr>
        <w:pStyle w:val="3"/>
        <w:keepNext w:val="0"/>
        <w:keepLines w:val="0"/>
        <w:pageBreakBefore w:val="0"/>
        <w:widowControl/>
        <w:numPr>
          <w:ilvl w:val="0"/>
          <w:numId w:val="2"/>
        </w:numPr>
        <w:kinsoku/>
        <w:wordWrap/>
        <w:overflowPunct/>
        <w:topLinePunct w:val="0"/>
        <w:autoSpaceDE/>
        <w:autoSpaceDN/>
        <w:bidi w:val="0"/>
        <w:adjustRightInd w:val="0"/>
        <w:snapToGrid w:val="0"/>
        <w:spacing w:before="0" w:after="0"/>
        <w:textAlignment w:val="auto"/>
        <w:rPr>
          <w:rFonts w:hint="default" w:ascii="Times New Roman" w:hAnsi="Times New Roman" w:cs="Times New Roman"/>
        </w:rPr>
      </w:pPr>
      <w:r>
        <w:rPr>
          <w:rFonts w:hint="default" w:ascii="Times New Roman" w:hAnsi="Times New Roman" w:cs="Times New Roman"/>
        </w:rPr>
        <w:t>其他重要事项的情况说明</w:t>
      </w:r>
    </w:p>
    <w:p>
      <w:pPr>
        <w:pStyle w:val="5"/>
        <w:bidi w:val="0"/>
        <w:rPr>
          <w:rFonts w:hint="default" w:ascii="Times New Roman" w:hAnsi="Times New Roman" w:cs="Times New Roman"/>
        </w:rPr>
      </w:pPr>
      <w:r>
        <w:rPr>
          <w:rFonts w:hint="default" w:ascii="Times New Roman" w:hAnsi="Times New Roman" w:cs="Times New Roman"/>
        </w:rPr>
        <w:t>（一）机关运行经费</w:t>
      </w:r>
    </w:p>
    <w:p>
      <w:pPr>
        <w:pStyle w:val="6"/>
        <w:bidi w:val="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年，泸县</w:t>
      </w:r>
      <w:r>
        <w:rPr>
          <w:rFonts w:hint="default" w:ascii="Times New Roman" w:hAnsi="Times New Roman" w:cs="Times New Roman"/>
          <w:lang w:eastAsia="zh-CN"/>
        </w:rPr>
        <w:t>总工会</w:t>
      </w:r>
      <w:r>
        <w:rPr>
          <w:rFonts w:hint="default" w:ascii="Times New Roman" w:hAnsi="Times New Roman" w:cs="Times New Roman"/>
        </w:rPr>
        <w:t>机关运行经费财政拨款预算为</w:t>
      </w:r>
      <w:r>
        <w:rPr>
          <w:rFonts w:hint="default" w:ascii="Times New Roman" w:hAnsi="Times New Roman" w:cs="Times New Roman"/>
          <w:lang w:val="en-US" w:eastAsia="zh-CN"/>
        </w:rPr>
        <w:t>23.55</w:t>
      </w:r>
      <w:r>
        <w:rPr>
          <w:rFonts w:hint="default" w:ascii="Times New Roman" w:hAnsi="Times New Roman" w:cs="Times New Roman"/>
        </w:rPr>
        <w:t>万元，比2020年预算</w:t>
      </w:r>
      <w:r>
        <w:rPr>
          <w:rFonts w:hint="default" w:ascii="Times New Roman" w:hAnsi="Times New Roman" w:cs="Times New Roman"/>
          <w:lang w:eastAsia="zh-CN"/>
        </w:rPr>
        <w:t>增加</w:t>
      </w:r>
      <w:r>
        <w:rPr>
          <w:rFonts w:hint="default" w:ascii="Times New Roman" w:hAnsi="Times New Roman" w:cs="Times New Roman"/>
          <w:lang w:val="en-US" w:eastAsia="zh-CN"/>
        </w:rPr>
        <w:t>3.5</w:t>
      </w:r>
      <w:r>
        <w:rPr>
          <w:rFonts w:hint="default" w:ascii="Times New Roman" w:hAnsi="Times New Roman" w:cs="Times New Roman"/>
        </w:rPr>
        <w:t>万元，</w:t>
      </w:r>
      <w:r>
        <w:rPr>
          <w:rFonts w:hint="default" w:ascii="Times New Roman" w:hAnsi="Times New Roman" w:cs="Times New Roman"/>
          <w:lang w:eastAsia="zh-CN"/>
        </w:rPr>
        <w:t>增加</w:t>
      </w:r>
      <w:r>
        <w:rPr>
          <w:rFonts w:hint="default" w:ascii="Times New Roman" w:hAnsi="Times New Roman" w:cs="Times New Roman"/>
          <w:lang w:val="en-US" w:eastAsia="zh-CN"/>
        </w:rPr>
        <w:t>17.45</w:t>
      </w:r>
      <w:r>
        <w:rPr>
          <w:rFonts w:hint="default" w:ascii="Times New Roman" w:hAnsi="Times New Roman" w:cs="Times New Roman"/>
        </w:rPr>
        <w:t>%。主要原因</w:t>
      </w:r>
      <w:r>
        <w:rPr>
          <w:rFonts w:hint="default" w:ascii="Times New Roman" w:hAnsi="Times New Roman" w:cs="Times New Roman"/>
          <w:lang w:eastAsia="zh-CN"/>
        </w:rPr>
        <w:t>是泸县群团工作中心有新进人员</w:t>
      </w:r>
      <w:r>
        <w:rPr>
          <w:rFonts w:hint="default" w:ascii="Times New Roman" w:hAnsi="Times New Roman" w:cs="Times New Roman"/>
        </w:rPr>
        <w:t>。</w:t>
      </w:r>
    </w:p>
    <w:p>
      <w:pPr>
        <w:pStyle w:val="5"/>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二</w:t>
      </w:r>
      <w:r>
        <w:rPr>
          <w:rFonts w:hint="default" w:ascii="Times New Roman" w:hAnsi="Times New Roman" w:cs="Times New Roman"/>
        </w:rPr>
        <w:t>）国有资产占用情况</w:t>
      </w:r>
    </w:p>
    <w:p>
      <w:pPr>
        <w:pStyle w:val="6"/>
        <w:bidi w:val="0"/>
        <w:rPr>
          <w:rFonts w:hint="default" w:ascii="Times New Roman" w:hAnsi="Times New Roman" w:cs="Times New Roman"/>
        </w:rPr>
      </w:pPr>
      <w:r>
        <w:rPr>
          <w:rFonts w:hint="default" w:ascii="Times New Roman" w:hAnsi="Times New Roman" w:cs="Times New Roman"/>
          <w:lang w:eastAsia="zh-CN"/>
        </w:rPr>
        <w:t>截至</w:t>
      </w:r>
      <w:r>
        <w:rPr>
          <w:rFonts w:hint="default" w:ascii="Times New Roman" w:hAnsi="Times New Roman" w:cs="Times New Roman"/>
        </w:rPr>
        <w:t>202</w:t>
      </w:r>
      <w:r>
        <w:rPr>
          <w:rFonts w:hint="default" w:ascii="Times New Roman" w:hAnsi="Times New Roman" w:cs="Times New Roman"/>
          <w:lang w:val="en-US" w:eastAsia="zh-CN"/>
        </w:rPr>
        <w:t>0</w:t>
      </w:r>
      <w:r>
        <w:rPr>
          <w:rFonts w:hint="default" w:ascii="Times New Roman" w:hAnsi="Times New Roman" w:cs="Times New Roman"/>
        </w:rPr>
        <w:t>年底，泸县</w:t>
      </w:r>
      <w:r>
        <w:rPr>
          <w:rFonts w:hint="default" w:ascii="Times New Roman" w:hAnsi="Times New Roman" w:cs="Times New Roman"/>
          <w:lang w:eastAsia="zh-CN"/>
        </w:rPr>
        <w:t>总工会</w:t>
      </w:r>
      <w:r>
        <w:rPr>
          <w:rFonts w:hint="default" w:ascii="Times New Roman" w:hAnsi="Times New Roman" w:cs="Times New Roman"/>
        </w:rPr>
        <w:t>无单位价值200万元以上大型设备。</w:t>
      </w:r>
    </w:p>
    <w:p>
      <w:pPr>
        <w:pStyle w:val="6"/>
        <w:bidi w:val="0"/>
        <w:rPr>
          <w:rFonts w:hint="default" w:ascii="Times New Roman" w:hAnsi="Times New Roman" w:cs="Times New Roman"/>
          <w:szCs w:val="32"/>
        </w:rPr>
      </w:pPr>
      <w:r>
        <w:rPr>
          <w:rFonts w:hint="default" w:ascii="Times New Roman" w:hAnsi="Times New Roman" w:cs="Times New Roman"/>
        </w:rPr>
        <w:t>2021年</w:t>
      </w:r>
      <w:r>
        <w:rPr>
          <w:rFonts w:hint="eastAsia" w:ascii="Times New Roman" w:hAnsi="Times New Roman" w:cs="Times New Roman"/>
          <w:lang w:eastAsia="zh-CN"/>
        </w:rPr>
        <w:t>单位</w:t>
      </w:r>
      <w:r>
        <w:rPr>
          <w:rFonts w:hint="default" w:ascii="Times New Roman" w:hAnsi="Times New Roman" w:cs="Times New Roman"/>
        </w:rPr>
        <w:t>预算未安排购置车辆及单位价值200万元以上大型设备经费。</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3" w:firstLineChars="200"/>
        <w:jc w:val="both"/>
        <w:textAlignment w:val="auto"/>
        <w:rPr>
          <w:rFonts w:hint="default" w:ascii="Times New Roman" w:hAnsi="Times New Roman" w:eastAsia="方正楷体简体" w:cs="Times New Roman"/>
          <w:b/>
          <w:bCs/>
          <w:sz w:val="32"/>
          <w:szCs w:val="32"/>
        </w:rPr>
      </w:pPr>
      <w:r>
        <w:rPr>
          <w:rStyle w:val="19"/>
          <w:rFonts w:hint="default" w:ascii="Times New Roman" w:hAnsi="Times New Roman" w:cs="Times New Roman"/>
        </w:rPr>
        <w:t>（</w:t>
      </w:r>
      <w:r>
        <w:rPr>
          <w:rStyle w:val="19"/>
          <w:rFonts w:hint="default" w:ascii="Times New Roman" w:hAnsi="Times New Roman" w:cs="Times New Roman"/>
          <w:lang w:eastAsia="zh-CN"/>
        </w:rPr>
        <w:t>三</w:t>
      </w:r>
      <w:r>
        <w:rPr>
          <w:rStyle w:val="19"/>
          <w:rFonts w:hint="default" w:ascii="Times New Roman" w:hAnsi="Times New Roman" w:cs="Times New Roman"/>
        </w:rPr>
        <w:t>）预算绩效情况</w:t>
      </w:r>
      <w:r>
        <w:rPr>
          <w:rFonts w:hint="default" w:ascii="Times New Roman" w:hAnsi="Times New Roman" w:eastAsia="方正楷体简体" w:cs="Times New Roman"/>
          <w:b/>
          <w:bCs/>
          <w:sz w:val="32"/>
          <w:szCs w:val="32"/>
        </w:rPr>
        <w:t xml:space="preserve"> </w:t>
      </w:r>
    </w:p>
    <w:p>
      <w:pPr>
        <w:pStyle w:val="6"/>
        <w:bidi w:val="0"/>
        <w:rPr>
          <w:rFonts w:hint="default" w:ascii="Times New Roman" w:hAnsi="Times New Roman" w:cs="Times New Roman"/>
          <w:szCs w:val="32"/>
        </w:rPr>
      </w:pP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年单位总体绩效目标是：深入学习习近平新时代中国特色社会主义思想，全面</w:t>
      </w:r>
      <w:r>
        <w:rPr>
          <w:rFonts w:hint="default" w:ascii="Times New Roman" w:hAnsi="Times New Roman" w:cs="Times New Roman"/>
          <w:lang w:eastAsia="zh-CN"/>
        </w:rPr>
        <w:t>贯彻落实</w:t>
      </w:r>
      <w:r>
        <w:rPr>
          <w:rFonts w:hint="default" w:ascii="Times New Roman" w:hAnsi="Times New Roman" w:cs="Times New Roman"/>
        </w:rPr>
        <w:t>中央、省、市、县群团工作会议精神，围绕四大职能目标，坚持“走基层、转机制、强基础”的工作思路，紧扣中心大局、紧跟发展需要、紧贴职工需求，创新工作理念、拓宽工作思路、延伸工作范围，为推动全县经济社会平稳较快发展发挥积极作用。</w:t>
      </w:r>
    </w:p>
    <w:p>
      <w:pPr>
        <w:pStyle w:val="6"/>
        <w:keepNext w:val="0"/>
        <w:keepLines w:val="0"/>
        <w:pageBreakBefore w:val="0"/>
        <w:kinsoku/>
        <w:wordWrap/>
        <w:overflowPunct/>
        <w:topLinePunct w:val="0"/>
        <w:autoSpaceDE/>
        <w:autoSpaceDN/>
        <w:bidi w:val="0"/>
        <w:adjustRightInd w:val="0"/>
        <w:snapToGrid w:val="0"/>
        <w:spacing w:beforeLines="0" w:line="578" w:lineRule="exact"/>
        <w:ind w:firstLine="640" w:firstLineChars="200"/>
        <w:jc w:val="both"/>
        <w:textAlignment w:val="auto"/>
        <w:rPr>
          <w:rFonts w:hint="default" w:ascii="Times New Roman" w:hAnsi="Times New Roman" w:eastAsia="黑体" w:cs="Times New Roman"/>
          <w:b w:val="0"/>
          <w:bCs/>
          <w:sz w:val="32"/>
          <w:szCs w:val="32"/>
        </w:rPr>
      </w:pPr>
      <w:r>
        <w:rPr>
          <w:rStyle w:val="18"/>
          <w:rFonts w:hint="default" w:ascii="Times New Roman" w:hAnsi="Times New Roman" w:cs="Times New Roman"/>
        </w:rPr>
        <w:t>七、名词解释</w:t>
      </w:r>
      <w:r>
        <w:rPr>
          <w:rFonts w:hint="default" w:ascii="Times New Roman" w:hAnsi="Times New Roman" w:eastAsia="黑体" w:cs="Times New Roman"/>
          <w:b w:val="0"/>
          <w:bCs/>
          <w:sz w:val="32"/>
          <w:szCs w:val="32"/>
        </w:rPr>
        <w:t xml:space="preserve"> </w:t>
      </w:r>
    </w:p>
    <w:p>
      <w:pPr>
        <w:pStyle w:val="6"/>
        <w:bidi w:val="0"/>
        <w:rPr>
          <w:rFonts w:hint="default" w:ascii="Times New Roman" w:hAnsi="Times New Roman" w:cs="Times New Roman"/>
        </w:rPr>
      </w:pPr>
      <w:r>
        <w:rPr>
          <w:rFonts w:hint="default" w:ascii="Times New Roman" w:hAnsi="Times New Roman" w:cs="Times New Roman"/>
        </w:rPr>
        <w:t xml:space="preserve">1.财政拨款收入：指县级财政当年拨付的资金。 </w:t>
      </w:r>
    </w:p>
    <w:p>
      <w:pPr>
        <w:pStyle w:val="6"/>
        <w:bidi w:val="0"/>
        <w:rPr>
          <w:rFonts w:hint="default" w:ascii="Times New Roman" w:hAnsi="Times New Roman" w:cs="Times New Roman"/>
        </w:rPr>
      </w:pPr>
      <w:r>
        <w:rPr>
          <w:rFonts w:hint="default" w:ascii="Times New Roman" w:hAnsi="Times New Roman" w:cs="Times New Roman"/>
        </w:rPr>
        <w:t xml:space="preserve">2.年初结转和结余：指以前年度尚未完成、结转到本年按有关规定继续使用的资金。 </w:t>
      </w:r>
    </w:p>
    <w:p>
      <w:pPr>
        <w:pStyle w:val="6"/>
        <w:bidi w:val="0"/>
        <w:rPr>
          <w:rFonts w:hint="default" w:ascii="Times New Roman" w:hAnsi="Times New Roman" w:cs="Times New Roman"/>
        </w:rPr>
      </w:pPr>
      <w:r>
        <w:rPr>
          <w:rFonts w:hint="default" w:ascii="Times New Roman" w:hAnsi="Times New Roman" w:cs="Times New Roman"/>
        </w:rPr>
        <w:t xml:space="preserve">3.年末结转和结余：指本年度或以前年度预算安排、因客观条件发生变化无法按原计划实施，需延迟到以后年度按有关规定继续使用的资金。 </w:t>
      </w:r>
    </w:p>
    <w:p>
      <w:pPr>
        <w:pStyle w:val="6"/>
        <w:bidi w:val="0"/>
        <w:rPr>
          <w:rFonts w:hint="default" w:ascii="Times New Roman" w:hAnsi="Times New Roman" w:cs="Times New Roman"/>
        </w:rPr>
      </w:pPr>
      <w:r>
        <w:rPr>
          <w:rFonts w:hint="default" w:ascii="Times New Roman" w:hAnsi="Times New Roman" w:cs="Times New Roman"/>
        </w:rPr>
        <w:t xml:space="preserve">4 .基本支出：指为保障机构正常运转、完成日常工作任务而发生的人员支出和公用支出。 </w:t>
      </w:r>
    </w:p>
    <w:p>
      <w:pPr>
        <w:pStyle w:val="6"/>
        <w:bidi w:val="0"/>
        <w:rPr>
          <w:rFonts w:hint="default" w:ascii="Times New Roman" w:hAnsi="Times New Roman" w:cs="Times New Roman"/>
        </w:rPr>
      </w:pPr>
      <w:r>
        <w:rPr>
          <w:rFonts w:hint="default" w:ascii="Times New Roman" w:hAnsi="Times New Roman" w:cs="Times New Roman"/>
        </w:rPr>
        <w:t xml:space="preserve">5.项目支出：指在基本支出之外为完成特定行政任务和事业发展目标所发生的支出。 </w:t>
      </w:r>
    </w:p>
    <w:p>
      <w:pPr>
        <w:pStyle w:val="6"/>
        <w:bidi w:val="0"/>
        <w:rPr>
          <w:rFonts w:hint="default" w:ascii="Times New Roman" w:hAnsi="Times New Roman" w:cs="Times New Roman"/>
        </w:rPr>
      </w:pPr>
      <w:r>
        <w:rPr>
          <w:rFonts w:hint="default" w:ascii="Times New Roman" w:hAnsi="Times New Roman" w:cs="Times New Roman"/>
        </w:rPr>
        <w:t>6.“三公”经费：纳入县级财政预决算管理的“三公”经费，是指</w:t>
      </w:r>
      <w:r>
        <w:rPr>
          <w:rFonts w:hint="eastAsia" w:ascii="Times New Roman" w:hAnsi="Times New Roman" w:cs="Times New Roman"/>
          <w:lang w:eastAsia="zh-CN"/>
        </w:rPr>
        <w:t>单位</w:t>
      </w:r>
      <w:r>
        <w:rPr>
          <w:rFonts w:hint="default" w:ascii="Times New Roman" w:hAnsi="Times New Roman" w:cs="Times New Roman"/>
        </w:rPr>
        <w:t>用财政拨款安排的因公出国（境）费、公务用车购置及运行费和公务接待费。其中，因公出国（境）费反映单位公务出国（境）的国际旅费、国外</w:t>
      </w:r>
      <w:r>
        <w:rPr>
          <w:rFonts w:hint="default" w:ascii="Times New Roman" w:hAnsi="Times New Roman" w:cs="Times New Roman"/>
          <w:lang w:eastAsia="zh-CN"/>
        </w:rPr>
        <w:t>城市</w:t>
      </w:r>
      <w:r>
        <w:rPr>
          <w:rFonts w:hint="default" w:ascii="Times New Roman" w:hAnsi="Times New Roman" w:cs="Times New Roman"/>
        </w:rPr>
        <w:t xml:space="preserve">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6"/>
        <w:bidi w:val="0"/>
        <w:rPr>
          <w:rFonts w:hint="default" w:ascii="Times New Roman" w:hAnsi="Times New Roman" w:cs="Times New Roman"/>
        </w:rPr>
      </w:pPr>
      <w:r>
        <w:rPr>
          <w:rFonts w:hint="default" w:ascii="Times New Roman" w:hAnsi="Times New Roman" w:cs="Times New Roman"/>
        </w:rPr>
        <w:t xml:space="preserve">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6"/>
        <w:bidi w:val="0"/>
        <w:rPr>
          <w:rFonts w:hint="default" w:ascii="Times New Roman" w:hAnsi="Times New Roman" w:cs="Times New Roman"/>
        </w:rPr>
      </w:pPr>
      <w:r>
        <w:rPr>
          <w:rFonts w:hint="default" w:ascii="Times New Roman" w:hAnsi="Times New Roman" w:cs="Times New Roman"/>
        </w:rPr>
        <w:t xml:space="preserve">                             </w:t>
      </w:r>
    </w:p>
    <w:p>
      <w:pPr>
        <w:pStyle w:val="6"/>
        <w:bidi w:val="0"/>
        <w:rPr>
          <w:rFonts w:hint="default" w:ascii="Times New Roman" w:hAnsi="Times New Roman" w:cs="Times New Roman"/>
        </w:rPr>
      </w:pPr>
      <w:r>
        <w:rPr>
          <w:rFonts w:hint="default" w:ascii="Times New Roman" w:hAnsi="Times New Roman" w:cs="Times New Roman"/>
        </w:rPr>
        <w:t>附件：四川省泸州市泸县总工会202</w:t>
      </w:r>
      <w:r>
        <w:rPr>
          <w:rFonts w:hint="default" w:ascii="Times New Roman" w:hAnsi="Times New Roman" w:cs="Times New Roman"/>
          <w:lang w:val="en-US" w:eastAsia="zh-CN"/>
        </w:rPr>
        <w:t>1</w:t>
      </w:r>
      <w:r>
        <w:rPr>
          <w:rFonts w:hint="default" w:ascii="Times New Roman" w:hAnsi="Times New Roman" w:cs="Times New Roman"/>
        </w:rPr>
        <w:t>年预算公开表</w:t>
      </w:r>
    </w:p>
    <w:p>
      <w:pPr>
        <w:pStyle w:val="6"/>
        <w:bidi w:val="0"/>
        <w:rPr>
          <w:rFonts w:hint="default" w:ascii="Times New Roman" w:hAnsi="Times New Roman" w:cs="Times New Roman"/>
        </w:rPr>
      </w:pPr>
      <w:r>
        <w:rPr>
          <w:rFonts w:hint="default" w:ascii="Times New Roman" w:hAnsi="Times New Roman" w:cs="Times New Roman"/>
        </w:rPr>
        <w:t xml:space="preserve">                                </w:t>
      </w:r>
    </w:p>
    <w:p>
      <w:pPr>
        <w:pStyle w:val="6"/>
        <w:bidi w:val="0"/>
        <w:rPr>
          <w:rFonts w:hint="default" w:ascii="Times New Roman" w:hAnsi="Times New Roman" w:cs="Times New Roman"/>
        </w:rPr>
      </w:pPr>
    </w:p>
    <w:p>
      <w:pPr>
        <w:pStyle w:val="6"/>
        <w:bidi w:val="0"/>
        <w:rPr>
          <w:rFonts w:hint="default" w:ascii="Times New Roman" w:hAnsi="Times New Roman" w:cs="Times New Roman"/>
        </w:rPr>
      </w:pPr>
      <w:r>
        <w:rPr>
          <w:rFonts w:hint="default" w:ascii="Times New Roman" w:hAnsi="Times New Roman" w:cs="Times New Roman"/>
        </w:rPr>
        <w:t xml:space="preserve">                                    泸县总工会</w:t>
      </w:r>
    </w:p>
    <w:p>
      <w:pPr>
        <w:pStyle w:val="6"/>
        <w:bidi w:val="0"/>
        <w:rPr>
          <w:rFonts w:hint="default" w:ascii="Times New Roman" w:hAnsi="Times New Roman" w:cs="Times New Roman"/>
          <w:szCs w:val="32"/>
        </w:rPr>
      </w:pPr>
      <w:r>
        <w:rPr>
          <w:rFonts w:hint="default" w:ascii="Times New Roman" w:hAnsi="Times New Roman" w:cs="Times New Roman"/>
        </w:rPr>
        <w:t xml:space="preserve">                                 202</w:t>
      </w:r>
      <w:r>
        <w:rPr>
          <w:rFonts w:hint="default" w:ascii="Times New Roman" w:hAnsi="Times New Roman"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w:t>
      </w:r>
      <w:r>
        <w:rPr>
          <w:rFonts w:hint="default" w:ascii="Times New Roman" w:hAnsi="Times New Roman" w:cs="Times New Roman"/>
          <w:lang w:val="en-US" w:eastAsia="zh-CN"/>
        </w:rPr>
        <w:t>15</w:t>
      </w:r>
      <w:r>
        <w:rPr>
          <w:rFonts w:hint="default" w:ascii="Times New Roman" w:hAnsi="Times New Roman" w:cs="Times New Roman"/>
        </w:rPr>
        <w:t>日</w:t>
      </w:r>
    </w:p>
    <w:sectPr>
      <w:footerReference r:id="rId3" w:type="default"/>
      <w:pgSz w:w="11906" w:h="16838"/>
      <w:pgMar w:top="1588" w:right="1474" w:bottom="1588" w:left="1474" w:header="851" w:footer="1134" w:gutter="0"/>
      <w:paperSrc w:first="7" w:other="7"/>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宋体_x0004_fal">
    <w:altName w:val="微软雅黑"/>
    <w:panose1 w:val="00000000000000000000"/>
    <w:charset w:val="86"/>
    <w:family w:val="auto"/>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宋体fal">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2FE25"/>
    <w:multiLevelType w:val="singleLevel"/>
    <w:tmpl w:val="45A2FE25"/>
    <w:lvl w:ilvl="0" w:tentative="0">
      <w:start w:val="6"/>
      <w:numFmt w:val="chineseCounting"/>
      <w:suff w:val="nothing"/>
      <w:lvlText w:val="%1、"/>
      <w:lvlJc w:val="left"/>
      <w:rPr>
        <w:rFonts w:hint="eastAsia"/>
      </w:rPr>
    </w:lvl>
  </w:abstractNum>
  <w:abstractNum w:abstractNumId="1">
    <w:nsid w:val="540CF4AD"/>
    <w:multiLevelType w:val="singleLevel"/>
    <w:tmpl w:val="540CF4A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FhMjI0Mjk3YjVjNDdjOThiZmRjYjQ3YWQyNTQifQ=="/>
  </w:docVars>
  <w:rsids>
    <w:rsidRoot w:val="003B5550"/>
    <w:rsid w:val="0010288D"/>
    <w:rsid w:val="001F3A0C"/>
    <w:rsid w:val="00277373"/>
    <w:rsid w:val="003B5550"/>
    <w:rsid w:val="003F528A"/>
    <w:rsid w:val="00423720"/>
    <w:rsid w:val="004913C2"/>
    <w:rsid w:val="004A0113"/>
    <w:rsid w:val="00501F09"/>
    <w:rsid w:val="006B471E"/>
    <w:rsid w:val="00701C86"/>
    <w:rsid w:val="00776E2B"/>
    <w:rsid w:val="007E0F54"/>
    <w:rsid w:val="00895EB3"/>
    <w:rsid w:val="00A428D3"/>
    <w:rsid w:val="00A443D1"/>
    <w:rsid w:val="00A52C7C"/>
    <w:rsid w:val="00B6487C"/>
    <w:rsid w:val="00B87085"/>
    <w:rsid w:val="00BA34FE"/>
    <w:rsid w:val="00C073A6"/>
    <w:rsid w:val="00C72ECC"/>
    <w:rsid w:val="00D56458"/>
    <w:rsid w:val="00EE0234"/>
    <w:rsid w:val="00EE40F0"/>
    <w:rsid w:val="00FE6D49"/>
    <w:rsid w:val="020E650B"/>
    <w:rsid w:val="02750C7C"/>
    <w:rsid w:val="02BC23A3"/>
    <w:rsid w:val="03685798"/>
    <w:rsid w:val="04441968"/>
    <w:rsid w:val="057C137A"/>
    <w:rsid w:val="084B551C"/>
    <w:rsid w:val="085E764D"/>
    <w:rsid w:val="08AE0EDA"/>
    <w:rsid w:val="090C0326"/>
    <w:rsid w:val="0A0C2795"/>
    <w:rsid w:val="0A11605C"/>
    <w:rsid w:val="0B3C5000"/>
    <w:rsid w:val="0D7D62E4"/>
    <w:rsid w:val="0DE365A8"/>
    <w:rsid w:val="0F3B18DC"/>
    <w:rsid w:val="0FE67963"/>
    <w:rsid w:val="10443BF7"/>
    <w:rsid w:val="107728F9"/>
    <w:rsid w:val="127E60E3"/>
    <w:rsid w:val="12A61E39"/>
    <w:rsid w:val="145F574E"/>
    <w:rsid w:val="151966AC"/>
    <w:rsid w:val="157B6987"/>
    <w:rsid w:val="169C0312"/>
    <w:rsid w:val="171D683D"/>
    <w:rsid w:val="179628C1"/>
    <w:rsid w:val="18DD40DB"/>
    <w:rsid w:val="19CC03D7"/>
    <w:rsid w:val="1A3D78DB"/>
    <w:rsid w:val="1AAC5E04"/>
    <w:rsid w:val="1B570174"/>
    <w:rsid w:val="1C3A7C88"/>
    <w:rsid w:val="1CF0262F"/>
    <w:rsid w:val="1E0B3D0B"/>
    <w:rsid w:val="1EB526C1"/>
    <w:rsid w:val="1F445A46"/>
    <w:rsid w:val="1FEA2B4C"/>
    <w:rsid w:val="222361DA"/>
    <w:rsid w:val="22761DDB"/>
    <w:rsid w:val="22891F9D"/>
    <w:rsid w:val="22B84D48"/>
    <w:rsid w:val="23055764"/>
    <w:rsid w:val="254C0B5E"/>
    <w:rsid w:val="25FF3FD4"/>
    <w:rsid w:val="26355556"/>
    <w:rsid w:val="28416945"/>
    <w:rsid w:val="292D3570"/>
    <w:rsid w:val="29387837"/>
    <w:rsid w:val="293B5E02"/>
    <w:rsid w:val="29857CBA"/>
    <w:rsid w:val="2A557F75"/>
    <w:rsid w:val="2AA70CBD"/>
    <w:rsid w:val="2CD552E5"/>
    <w:rsid w:val="2DEC14E9"/>
    <w:rsid w:val="2F785E09"/>
    <w:rsid w:val="307F4EE2"/>
    <w:rsid w:val="30890978"/>
    <w:rsid w:val="308B5B63"/>
    <w:rsid w:val="31EB12B0"/>
    <w:rsid w:val="33B10982"/>
    <w:rsid w:val="34802092"/>
    <w:rsid w:val="35C57396"/>
    <w:rsid w:val="361231BE"/>
    <w:rsid w:val="364C761C"/>
    <w:rsid w:val="36CF3C96"/>
    <w:rsid w:val="36DA7420"/>
    <w:rsid w:val="384C6F97"/>
    <w:rsid w:val="39194BC1"/>
    <w:rsid w:val="397F22FE"/>
    <w:rsid w:val="39AD0D84"/>
    <w:rsid w:val="39C22EC2"/>
    <w:rsid w:val="3C652EFB"/>
    <w:rsid w:val="3CCB6FAE"/>
    <w:rsid w:val="3D4A7740"/>
    <w:rsid w:val="3D8E0BF2"/>
    <w:rsid w:val="3F283B2F"/>
    <w:rsid w:val="3FEA5571"/>
    <w:rsid w:val="3FFD1034"/>
    <w:rsid w:val="409C661B"/>
    <w:rsid w:val="41DB3FD7"/>
    <w:rsid w:val="41EE7959"/>
    <w:rsid w:val="427C71B3"/>
    <w:rsid w:val="42D40D56"/>
    <w:rsid w:val="42EB7271"/>
    <w:rsid w:val="43C818E1"/>
    <w:rsid w:val="43EF5EAE"/>
    <w:rsid w:val="44412277"/>
    <w:rsid w:val="461D43FA"/>
    <w:rsid w:val="46C422B2"/>
    <w:rsid w:val="47182511"/>
    <w:rsid w:val="47515052"/>
    <w:rsid w:val="476B238C"/>
    <w:rsid w:val="47A978BE"/>
    <w:rsid w:val="47AF3ECD"/>
    <w:rsid w:val="48C344AA"/>
    <w:rsid w:val="495D2D93"/>
    <w:rsid w:val="4A222F14"/>
    <w:rsid w:val="4A684D8D"/>
    <w:rsid w:val="4A6A3171"/>
    <w:rsid w:val="4AE91A71"/>
    <w:rsid w:val="4B940576"/>
    <w:rsid w:val="4BB01FB1"/>
    <w:rsid w:val="4C0D2703"/>
    <w:rsid w:val="4C9E6EA9"/>
    <w:rsid w:val="4CD30E2F"/>
    <w:rsid w:val="4D714816"/>
    <w:rsid w:val="4DAC72A4"/>
    <w:rsid w:val="4DFA6375"/>
    <w:rsid w:val="4E725B4D"/>
    <w:rsid w:val="4ED41501"/>
    <w:rsid w:val="4F03654D"/>
    <w:rsid w:val="4F674D64"/>
    <w:rsid w:val="4FFF64BC"/>
    <w:rsid w:val="511764E8"/>
    <w:rsid w:val="54BC7D1F"/>
    <w:rsid w:val="55B47D3D"/>
    <w:rsid w:val="55D47611"/>
    <w:rsid w:val="563C046B"/>
    <w:rsid w:val="56B20209"/>
    <w:rsid w:val="578F1FA0"/>
    <w:rsid w:val="590A6159"/>
    <w:rsid w:val="590C6F95"/>
    <w:rsid w:val="59F553FE"/>
    <w:rsid w:val="5B897267"/>
    <w:rsid w:val="5BA9396F"/>
    <w:rsid w:val="5BDD2C25"/>
    <w:rsid w:val="5CBA3AE4"/>
    <w:rsid w:val="5EA96983"/>
    <w:rsid w:val="5ED41A5F"/>
    <w:rsid w:val="5ED55EDB"/>
    <w:rsid w:val="5F173854"/>
    <w:rsid w:val="5F6C1CAC"/>
    <w:rsid w:val="5FA34A1C"/>
    <w:rsid w:val="5FC83FBB"/>
    <w:rsid w:val="600357A2"/>
    <w:rsid w:val="606049A2"/>
    <w:rsid w:val="609C55C7"/>
    <w:rsid w:val="60E0260D"/>
    <w:rsid w:val="60E47381"/>
    <w:rsid w:val="63111083"/>
    <w:rsid w:val="63674203"/>
    <w:rsid w:val="63A52A90"/>
    <w:rsid w:val="643A1D11"/>
    <w:rsid w:val="644D2F35"/>
    <w:rsid w:val="650D62AF"/>
    <w:rsid w:val="667B5093"/>
    <w:rsid w:val="67AF4815"/>
    <w:rsid w:val="684B5FB6"/>
    <w:rsid w:val="69014307"/>
    <w:rsid w:val="6A36429B"/>
    <w:rsid w:val="6BDA5F51"/>
    <w:rsid w:val="6BF6440D"/>
    <w:rsid w:val="6E535796"/>
    <w:rsid w:val="6E881C94"/>
    <w:rsid w:val="6EED1CAE"/>
    <w:rsid w:val="6F2A5DA4"/>
    <w:rsid w:val="6F7D477B"/>
    <w:rsid w:val="6FB22D40"/>
    <w:rsid w:val="72410029"/>
    <w:rsid w:val="724E5A00"/>
    <w:rsid w:val="72A13F35"/>
    <w:rsid w:val="733C6A4E"/>
    <w:rsid w:val="7375030D"/>
    <w:rsid w:val="73B62A4B"/>
    <w:rsid w:val="743F449C"/>
    <w:rsid w:val="75AC610A"/>
    <w:rsid w:val="76872831"/>
    <w:rsid w:val="77A26FCA"/>
    <w:rsid w:val="789D36A7"/>
    <w:rsid w:val="78B75449"/>
    <w:rsid w:val="7A7A3397"/>
    <w:rsid w:val="7AAE5653"/>
    <w:rsid w:val="7AF07524"/>
    <w:rsid w:val="7B0966E9"/>
    <w:rsid w:val="7B7315D6"/>
    <w:rsid w:val="7C4E786C"/>
    <w:rsid w:val="7DD402E8"/>
    <w:rsid w:val="7DEE1C19"/>
    <w:rsid w:val="7ED1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_x0004_fal" w:cs="Times New Roman"/>
      <w:kern w:val="2"/>
      <w:sz w:val="21"/>
      <w:szCs w:val="21"/>
      <w:lang w:val="en-US" w:eastAsia="zh-CN" w:bidi="ar-SA"/>
    </w:rPr>
  </w:style>
  <w:style w:type="paragraph" w:styleId="3">
    <w:name w:val="heading 1"/>
    <w:basedOn w:val="4"/>
    <w:next w:val="1"/>
    <w:link w:val="18"/>
    <w:autoRedefine/>
    <w:qFormat/>
    <w:uiPriority w:val="9"/>
    <w:pPr>
      <w:widowControl/>
      <w:adjustRightInd w:val="0"/>
      <w:snapToGrid w:val="0"/>
      <w:spacing w:beforeAutospacing="0" w:afterAutospacing="0" w:line="578" w:lineRule="exact"/>
      <w:ind w:firstLine="1410" w:firstLineChars="200"/>
      <w:jc w:val="left"/>
      <w:outlineLvl w:val="0"/>
    </w:pPr>
    <w:rPr>
      <w:rFonts w:ascii="宋体" w:hAnsi="宋体" w:eastAsia="方正黑体简体" w:cs="宋体"/>
      <w:b w:val="0"/>
      <w:bCs/>
      <w:kern w:val="36"/>
      <w:szCs w:val="48"/>
    </w:rPr>
  </w:style>
  <w:style w:type="paragraph" w:styleId="5">
    <w:name w:val="heading 2"/>
    <w:basedOn w:val="1"/>
    <w:next w:val="1"/>
    <w:link w:val="19"/>
    <w:unhideWhenUsed/>
    <w:qFormat/>
    <w:uiPriority w:val="9"/>
    <w:pPr>
      <w:keepNext/>
      <w:keepLines/>
      <w:spacing w:beforeLines="0" w:beforeAutospacing="0" w:afterLines="0" w:afterAutospacing="0" w:line="578" w:lineRule="exact"/>
      <w:ind w:firstLine="883" w:firstLineChars="200"/>
      <w:outlineLvl w:val="1"/>
    </w:pPr>
    <w:rPr>
      <w:rFonts w:ascii="Arial" w:hAnsi="Arial" w:eastAsia="方正楷体简体"/>
      <w:b/>
      <w:sz w:val="32"/>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7"/>
    <w:autoRedefine/>
    <w:qFormat/>
    <w:uiPriority w:val="99"/>
    <w:rPr>
      <w:rFonts w:eastAsia="宋体fal"/>
      <w:sz w:val="24"/>
      <w:szCs w:val="24"/>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6">
    <w:name w:val="Body Text"/>
    <w:basedOn w:val="1"/>
    <w:link w:val="16"/>
    <w:autoRedefine/>
    <w:qFormat/>
    <w:uiPriority w:val="99"/>
    <w:pPr>
      <w:spacing w:line="578" w:lineRule="exact"/>
      <w:ind w:firstLine="883" w:firstLineChars="200"/>
    </w:pPr>
    <w:rPr>
      <w:rFonts w:ascii="仿宋_GB2312" w:hAnsi="仿宋_GB2312" w:eastAsia="方正仿宋简体" w:cs="仿宋_GB2312"/>
      <w:sz w:val="32"/>
      <w:szCs w:val="24"/>
    </w:rPr>
  </w:style>
  <w:style w:type="paragraph" w:styleId="7">
    <w:name w:val="footer"/>
    <w:basedOn w:val="1"/>
    <w:link w:val="1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autoRedefine/>
    <w:semiHidden/>
    <w:qFormat/>
    <w:uiPriority w:val="99"/>
    <w:rPr>
      <w:sz w:val="18"/>
      <w:szCs w:val="18"/>
    </w:rPr>
  </w:style>
  <w:style w:type="character" w:customStyle="1" w:styleId="13">
    <w:name w:val="页脚 Char"/>
    <w:basedOn w:val="11"/>
    <w:link w:val="7"/>
    <w:autoRedefine/>
    <w:semiHidden/>
    <w:qFormat/>
    <w:uiPriority w:val="99"/>
    <w:rPr>
      <w:sz w:val="18"/>
      <w:szCs w:val="18"/>
    </w:rPr>
  </w:style>
  <w:style w:type="character" w:customStyle="1" w:styleId="14">
    <w:name w:val="称呼 Char1"/>
    <w:link w:val="2"/>
    <w:autoRedefine/>
    <w:qFormat/>
    <w:locked/>
    <w:uiPriority w:val="99"/>
    <w:rPr>
      <w:rFonts w:ascii="Times New Roman" w:hAnsi="Times New Roman" w:eastAsia="宋体fal" w:cs="Times New Roman"/>
      <w:sz w:val="24"/>
      <w:szCs w:val="24"/>
    </w:rPr>
  </w:style>
  <w:style w:type="character" w:customStyle="1" w:styleId="15">
    <w:name w:val="正文文本 Char1"/>
    <w:link w:val="6"/>
    <w:autoRedefine/>
    <w:qFormat/>
    <w:locked/>
    <w:uiPriority w:val="99"/>
    <w:rPr>
      <w:rFonts w:ascii="仿宋_GB2312" w:hAnsi="Times New Roman" w:eastAsia="仿宋_GB2312" w:cs="仿宋_GB2312"/>
      <w:sz w:val="24"/>
      <w:szCs w:val="24"/>
    </w:rPr>
  </w:style>
  <w:style w:type="character" w:customStyle="1" w:styleId="16">
    <w:name w:val="正文文本 Char"/>
    <w:basedOn w:val="11"/>
    <w:link w:val="6"/>
    <w:autoRedefine/>
    <w:semiHidden/>
    <w:qFormat/>
    <w:uiPriority w:val="99"/>
    <w:rPr>
      <w:rFonts w:ascii="Times New Roman" w:hAnsi="仿宋_GB2312" w:eastAsia="方正仿宋简体" w:cs="Times New Roman"/>
      <w:sz w:val="32"/>
      <w:szCs w:val="21"/>
    </w:rPr>
  </w:style>
  <w:style w:type="character" w:customStyle="1" w:styleId="17">
    <w:name w:val="称呼 Char"/>
    <w:basedOn w:val="11"/>
    <w:link w:val="2"/>
    <w:autoRedefine/>
    <w:semiHidden/>
    <w:qFormat/>
    <w:uiPriority w:val="99"/>
    <w:rPr>
      <w:rFonts w:ascii="Times New Roman" w:hAnsi="Times New Roman" w:eastAsia="宋体_x0004_fal" w:cs="Times New Roman"/>
      <w:szCs w:val="21"/>
    </w:rPr>
  </w:style>
  <w:style w:type="character" w:customStyle="1" w:styleId="18">
    <w:name w:val="标题 1 Char1"/>
    <w:link w:val="3"/>
    <w:autoRedefine/>
    <w:qFormat/>
    <w:uiPriority w:val="0"/>
    <w:rPr>
      <w:rFonts w:ascii="宋体" w:hAnsi="宋体" w:eastAsia="方正黑体简体" w:cs="宋体"/>
      <w:bCs/>
      <w:kern w:val="36"/>
      <w:szCs w:val="48"/>
    </w:rPr>
  </w:style>
  <w:style w:type="character" w:customStyle="1" w:styleId="19">
    <w:name w:val="标题 2 Char"/>
    <w:link w:val="5"/>
    <w:autoRedefine/>
    <w:qFormat/>
    <w:uiPriority w:val="0"/>
    <w:rPr>
      <w:rFonts w:ascii="Arial" w:hAnsi="Arial" w:eastAsia="方正楷体简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2154</Words>
  <Characters>2372</Characters>
  <Lines>16</Lines>
  <Paragraphs>4</Paragraphs>
  <TotalTime>52</TotalTime>
  <ScaleCrop>false</ScaleCrop>
  <LinksUpToDate>false</LinksUpToDate>
  <CharactersWithSpaces>2545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2020-01-27T02:59:00Z</dcterms:created>
  <dc:creator>个人用户</dc:creator>
  <cp:lastModifiedBy>cherry   cheng</cp:lastModifiedBy>
  <cp:lastPrinted>2024-04-24T03:41:09Z</cp:lastPrinted>
  <dcterms:modified xsi:type="dcterms:W3CDTF">2024-04-24T04:16:57Z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1EFC57D2E08A44A98651F7937CFEF2BC_13</vt:lpwstr>
  </property>
</Properties>
</file>